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560"/>
        <w:gridCol w:w="6030"/>
      </w:tblGrid>
      <w:tr w:rsidR="00566FD0" w:rsidRPr="007657A7" w:rsidTr="00214B38"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566FD0" w:rsidRPr="00523090" w:rsidRDefault="00566FD0" w:rsidP="00214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Observation Questions</w:t>
            </w:r>
          </w:p>
        </w:tc>
      </w:tr>
      <w:tr w:rsidR="00566FD0" w:rsidRPr="007657A7" w:rsidTr="00214B38">
        <w:tc>
          <w:tcPr>
            <w:tcW w:w="805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#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Comments/Observations</w:t>
            </w: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 w:rsidRPr="007657A7">
              <w:rPr>
                <w:sz w:val="24"/>
              </w:rPr>
              <w:t>1.1.5</w:t>
            </w:r>
          </w:p>
        </w:tc>
        <w:tc>
          <w:tcPr>
            <w:tcW w:w="7560" w:type="dxa"/>
          </w:tcPr>
          <w:p w:rsidR="00566FD0" w:rsidRPr="007657A7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Review worksites to determine if the (OHS) policy is posted in areas accessible to workers, such as lunchrooms, coffee rooms or bulletin boards.  For offsite workers; such as drivers; the policy can be provided as part of a health &amp; safety manual.  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 w:rsidRPr="007657A7">
              <w:rPr>
                <w:sz w:val="24"/>
              </w:rPr>
              <w:t>1.2.3</w:t>
            </w:r>
          </w:p>
        </w:tc>
        <w:tc>
          <w:tcPr>
            <w:tcW w:w="7560" w:type="dxa"/>
          </w:tcPr>
          <w:p w:rsidR="00566FD0" w:rsidRPr="007657A7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>Observe supervisors</w:t>
            </w:r>
            <w:r w:rsidRPr="007657A7" w:rsidDel="00A61484">
              <w:rPr>
                <w:sz w:val="24"/>
                <w:lang w:val="en-CA"/>
              </w:rPr>
              <w:t xml:space="preserve"> </w:t>
            </w:r>
            <w:r w:rsidRPr="007657A7">
              <w:rPr>
                <w:sz w:val="24"/>
                <w:lang w:val="en-CA"/>
              </w:rPr>
              <w:t xml:space="preserve">demonstrating their worksite </w:t>
            </w:r>
            <w:r>
              <w:rPr>
                <w:sz w:val="24"/>
                <w:lang w:val="en-CA"/>
              </w:rPr>
              <w:t xml:space="preserve">supervision and </w:t>
            </w:r>
            <w:r w:rsidRPr="007657A7">
              <w:rPr>
                <w:sz w:val="24"/>
                <w:lang w:val="en-CA"/>
              </w:rPr>
              <w:t>control practices. Supervisors must ensure workers are following safe work procedures and required risk control measures during the site tour. Additionally, supervisors must intervene when required.</w:t>
            </w: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>80% positive observation required to award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 w:rsidRPr="007657A7">
              <w:rPr>
                <w:sz w:val="24"/>
              </w:rPr>
              <w:t>1.2.6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Observe managers and supervisors conducting their activities to see if they are </w:t>
            </w:r>
            <w:r w:rsidRPr="00A23B3C">
              <w:rPr>
                <w:sz w:val="24"/>
                <w:lang w:val="en-CA"/>
              </w:rPr>
              <w:t>leading by example</w:t>
            </w:r>
            <w:r w:rsidRPr="007657A7">
              <w:rPr>
                <w:sz w:val="24"/>
                <w:lang w:val="en-CA"/>
              </w:rPr>
              <w:t xml:space="preserve"> </w:t>
            </w:r>
            <w:r>
              <w:rPr>
                <w:sz w:val="24"/>
                <w:lang w:val="en-CA"/>
              </w:rPr>
              <w:t xml:space="preserve">and </w:t>
            </w:r>
            <w:r w:rsidRPr="007657A7">
              <w:rPr>
                <w:sz w:val="24"/>
                <w:lang w:val="en-CA"/>
              </w:rPr>
              <w:t>following the company’s health and safety rules and procedures such as wearing of PPE, seatbelts, etc.</w:t>
            </w: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 80% positive observation required to award points. 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 w:rsidRPr="007657A7">
              <w:rPr>
                <w:sz w:val="24"/>
              </w:rPr>
              <w:t>1.2.7</w:t>
            </w:r>
          </w:p>
        </w:tc>
        <w:tc>
          <w:tcPr>
            <w:tcW w:w="7560" w:type="dxa"/>
          </w:tcPr>
          <w:p w:rsidR="00566FD0" w:rsidRPr="007657A7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>Observe the worksite to determine if relevant health and safety regulations, industry safety codes of practice</w:t>
            </w:r>
            <w:r>
              <w:rPr>
                <w:sz w:val="24"/>
                <w:lang w:val="en-CA"/>
              </w:rPr>
              <w:t>,</w:t>
            </w:r>
            <w:r w:rsidRPr="007657A7">
              <w:rPr>
                <w:sz w:val="24"/>
                <w:lang w:val="en-CA"/>
              </w:rPr>
              <w:t xml:space="preserve"> and other relevant resources such as equipment operations manuals and safe work procedures are readily available either in the form of physical copy or electronic means.  </w:t>
            </w: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 </w:t>
            </w: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>Award points based on the availability of relevant safety resource documents to workers. 80% positive results required to award points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</w:tbl>
    <w:p w:rsidR="00E415B7" w:rsidRDefault="00E415B7"/>
    <w:p w:rsidR="00E415B7" w:rsidRDefault="00E415B7"/>
    <w:p w:rsidR="00E415B7" w:rsidRDefault="00E415B7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560"/>
        <w:gridCol w:w="6030"/>
      </w:tblGrid>
      <w:tr w:rsidR="00566FD0" w:rsidRPr="007657A7" w:rsidTr="00214B38">
        <w:tc>
          <w:tcPr>
            <w:tcW w:w="805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lastRenderedPageBreak/>
              <w:t>#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Comments/Observations</w:t>
            </w: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 w:rsidRPr="007657A7">
              <w:rPr>
                <w:sz w:val="24"/>
              </w:rPr>
              <w:t>2.2.2</w:t>
            </w:r>
          </w:p>
        </w:tc>
        <w:tc>
          <w:tcPr>
            <w:tcW w:w="7560" w:type="dxa"/>
          </w:tcPr>
          <w:p w:rsidR="00566FD0" w:rsidRPr="007657A7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>Observe a representative sample of workers at the worksite to verify that they are following the required safe work practices addressed in t</w:t>
            </w:r>
            <w:r>
              <w:rPr>
                <w:sz w:val="24"/>
                <w:lang w:val="en-CA"/>
              </w:rPr>
              <w:t>he (material handling) policy.</w:t>
            </w:r>
            <w:r w:rsidRPr="007657A7">
              <w:rPr>
                <w:sz w:val="24"/>
                <w:lang w:val="en-CA"/>
              </w:rPr>
              <w:t xml:space="preserve"> 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 w:rsidRPr="007657A7">
              <w:rPr>
                <w:sz w:val="24"/>
              </w:rPr>
              <w:t>2.4.1</w:t>
            </w:r>
          </w:p>
        </w:tc>
        <w:tc>
          <w:tcPr>
            <w:tcW w:w="7560" w:type="dxa"/>
          </w:tcPr>
          <w:p w:rsidR="00566FD0" w:rsidRPr="007657A7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Observe the operation of mobile equipment to determine if </w:t>
            </w:r>
            <w:r>
              <w:rPr>
                <w:sz w:val="24"/>
                <w:lang w:val="en-CA"/>
              </w:rPr>
              <w:t>mobile equipment is</w:t>
            </w:r>
            <w:r w:rsidRPr="007657A7">
              <w:rPr>
                <w:sz w:val="24"/>
                <w:lang w:val="en-CA"/>
              </w:rPr>
              <w:t xml:space="preserve"> operated according to</w:t>
            </w:r>
            <w:r>
              <w:rPr>
                <w:sz w:val="24"/>
                <w:lang w:val="en-CA"/>
              </w:rPr>
              <w:t xml:space="preserve"> company safe work practices.</w:t>
            </w:r>
            <w:r w:rsidRPr="007657A7">
              <w:rPr>
                <w:sz w:val="24"/>
                <w:lang w:val="en-CA"/>
              </w:rPr>
              <w:t xml:space="preserve"> </w:t>
            </w:r>
          </w:p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>E.g. pre-inspection log completed, use of seatbelts, properly positioned forks while driving.</w:t>
            </w:r>
            <w:r>
              <w:rPr>
                <w:sz w:val="24"/>
                <w:lang w:val="en-CA"/>
              </w:rPr>
              <w:t xml:space="preserve"> </w:t>
            </w: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Mobile equipment includes any equipment that moves on wheels or tracks. 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b/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Observe </w:t>
            </w:r>
            <w:r>
              <w:rPr>
                <w:sz w:val="24"/>
                <w:lang w:val="en-CA"/>
              </w:rPr>
              <w:t>mobile equipment on-</w:t>
            </w:r>
            <w:r w:rsidRPr="007657A7">
              <w:rPr>
                <w:sz w:val="24"/>
                <w:lang w:val="en-CA"/>
              </w:rPr>
              <w:t xml:space="preserve">site to confirm if the mobile equipment is maintained </w:t>
            </w:r>
            <w:r>
              <w:rPr>
                <w:sz w:val="24"/>
                <w:lang w:val="en-CA"/>
              </w:rPr>
              <w:t>as indicated in the company equipment maintenance program.</w:t>
            </w:r>
            <w:r w:rsidRPr="007657A7">
              <w:rPr>
                <w:b/>
                <w:sz w:val="24"/>
                <w:lang w:val="en-CA"/>
              </w:rPr>
              <w:t xml:space="preserve">  </w:t>
            </w:r>
          </w:p>
          <w:p w:rsidR="00566FD0" w:rsidRDefault="00566FD0" w:rsidP="00214B38">
            <w:pPr>
              <w:rPr>
                <w:b/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80% positive </w:t>
            </w:r>
            <w:r>
              <w:rPr>
                <w:sz w:val="24"/>
                <w:lang w:val="en-CA"/>
              </w:rPr>
              <w:t>observations</w:t>
            </w:r>
            <w:r w:rsidRPr="007657A7">
              <w:rPr>
                <w:sz w:val="24"/>
                <w:lang w:val="en-CA"/>
              </w:rPr>
              <w:t xml:space="preserve"> required</w:t>
            </w:r>
            <w:r>
              <w:rPr>
                <w:sz w:val="24"/>
                <w:lang w:val="en-CA"/>
              </w:rPr>
              <w:t xml:space="preserve"> to award 5 points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Observe the workers at the worksite to determine if the safe work procedures </w:t>
            </w:r>
            <w:r>
              <w:rPr>
                <w:sz w:val="24"/>
                <w:lang w:val="en-CA"/>
              </w:rPr>
              <w:t xml:space="preserve">for </w:t>
            </w:r>
            <w:r w:rsidRPr="007657A7">
              <w:rPr>
                <w:sz w:val="24"/>
                <w:lang w:val="en-CA"/>
              </w:rPr>
              <w:t>pedestrian</w:t>
            </w:r>
            <w:r>
              <w:rPr>
                <w:sz w:val="24"/>
                <w:lang w:val="en-CA"/>
              </w:rPr>
              <w:t>s working around mobile equipment are being followed.</w:t>
            </w:r>
          </w:p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 xml:space="preserve">Award points based on % of positive findings </w:t>
            </w:r>
          </w:p>
          <w:p w:rsidR="00566FD0" w:rsidRPr="007657A7" w:rsidRDefault="00566FD0" w:rsidP="00214B38">
            <w:pPr>
              <w:rPr>
                <w:sz w:val="24"/>
                <w:lang w:val="en-CA"/>
              </w:rPr>
            </w:pPr>
            <w:r w:rsidRPr="007657A7">
              <w:rPr>
                <w:sz w:val="24"/>
                <w:lang w:val="en-CA"/>
              </w:rPr>
              <w:t>(1-20% = 2 points, 21-40% = 4 points, 81-100% = 10 points)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</w:tbl>
    <w:p w:rsidR="00E415B7" w:rsidRDefault="00E415B7"/>
    <w:p w:rsidR="00E415B7" w:rsidRDefault="00E415B7"/>
    <w:p w:rsidR="00E415B7" w:rsidRDefault="00E415B7"/>
    <w:p w:rsidR="00E415B7" w:rsidRDefault="00E415B7"/>
    <w:p w:rsidR="00E415B7" w:rsidRDefault="00E415B7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560"/>
        <w:gridCol w:w="6030"/>
      </w:tblGrid>
      <w:tr w:rsidR="00566FD0" w:rsidRPr="007657A7" w:rsidTr="00214B38">
        <w:tc>
          <w:tcPr>
            <w:tcW w:w="805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lastRenderedPageBreak/>
              <w:t>#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Comments/Observations</w:t>
            </w: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1B4597" w:rsidRDefault="00566FD0" w:rsidP="00214B3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 xml:space="preserve">Verify that engineering controls resulting from </w:t>
            </w:r>
            <w:r>
              <w:rPr>
                <w:sz w:val="24"/>
                <w:lang w:val="en-CA"/>
              </w:rPr>
              <w:t>the company</w:t>
            </w:r>
            <w:r w:rsidRPr="001B4597">
              <w:rPr>
                <w:sz w:val="24"/>
                <w:lang w:val="en-CA"/>
              </w:rPr>
              <w:t xml:space="preserve"> risk assessment process are implemented (i.e. m</w:t>
            </w:r>
            <w:r>
              <w:rPr>
                <w:sz w:val="24"/>
                <w:lang w:val="en-CA"/>
              </w:rPr>
              <w:t>achine guarding, lockout</w:t>
            </w:r>
            <w:r w:rsidRPr="001B4597">
              <w:rPr>
                <w:sz w:val="24"/>
                <w:lang w:val="en-CA"/>
              </w:rPr>
              <w:t>).</w:t>
            </w:r>
          </w:p>
          <w:p w:rsidR="00566FD0" w:rsidRPr="001B4597" w:rsidRDefault="00566FD0" w:rsidP="00214B38">
            <w:pPr>
              <w:rPr>
                <w:sz w:val="24"/>
                <w:lang w:val="en-CA"/>
              </w:rPr>
            </w:pPr>
          </w:p>
          <w:p w:rsidR="00566FD0" w:rsidRPr="001B4597" w:rsidRDefault="00566FD0" w:rsidP="00214B38">
            <w:pPr>
              <w:ind w:left="342"/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>Award points based on % of positive findings.</w:t>
            </w:r>
          </w:p>
          <w:p w:rsidR="00566FD0" w:rsidRPr="001B4597" w:rsidRDefault="00566FD0" w:rsidP="00214B38">
            <w:pPr>
              <w:ind w:left="342"/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 xml:space="preserve">(1-20% = 2 points, 21-40% = 4 points… 81-100% = 10 points) </w:t>
            </w:r>
          </w:p>
          <w:p w:rsidR="00566FD0" w:rsidRPr="001B4597" w:rsidRDefault="00566FD0" w:rsidP="00214B38">
            <w:pPr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 xml:space="preserve"> </w:t>
            </w:r>
          </w:p>
          <w:p w:rsidR="00566FD0" w:rsidRPr="001B4597" w:rsidRDefault="00566FD0" w:rsidP="00214B3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V</w:t>
            </w:r>
            <w:r w:rsidRPr="001B4597">
              <w:rPr>
                <w:sz w:val="24"/>
                <w:lang w:val="en-CA"/>
              </w:rPr>
              <w:t>erify implementation of administrative controls. Look for measures such as housekeeping, hiring training, and job rotation practices.  If yes award 5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1B4597" w:rsidRDefault="00566FD0" w:rsidP="00214B38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Confirm if</w:t>
            </w:r>
            <w:r w:rsidRPr="001B4597">
              <w:rPr>
                <w:sz w:val="24"/>
                <w:lang w:val="en-CA"/>
              </w:rPr>
              <w:t xml:space="preserve"> safe work procedures </w:t>
            </w:r>
            <w:r>
              <w:rPr>
                <w:sz w:val="24"/>
                <w:lang w:val="en-CA"/>
              </w:rPr>
              <w:t xml:space="preserve">are </w:t>
            </w:r>
            <w:r w:rsidRPr="001B4597">
              <w:rPr>
                <w:sz w:val="24"/>
                <w:lang w:val="en-CA"/>
              </w:rPr>
              <w:t>posted and accessible to workers. If yes award 10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>Observe site premises to determine if</w:t>
            </w:r>
            <w:r>
              <w:rPr>
                <w:sz w:val="24"/>
                <w:lang w:val="en-CA"/>
              </w:rPr>
              <w:t>:</w:t>
            </w:r>
          </w:p>
          <w:p w:rsidR="00566FD0" w:rsidRDefault="00566FD0" w:rsidP="00214B38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 xml:space="preserve">First aid procedures are </w:t>
            </w:r>
            <w:r>
              <w:rPr>
                <w:sz w:val="24"/>
                <w:lang w:val="en-CA"/>
              </w:rPr>
              <w:t>posted</w:t>
            </w:r>
          </w:p>
          <w:p w:rsidR="00566FD0" w:rsidRDefault="00566FD0" w:rsidP="00214B38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F</w:t>
            </w:r>
            <w:r w:rsidRPr="001B4597">
              <w:rPr>
                <w:sz w:val="24"/>
                <w:lang w:val="en-CA"/>
              </w:rPr>
              <w:t xml:space="preserve">irst aid station is clearly </w:t>
            </w:r>
            <w:r>
              <w:rPr>
                <w:sz w:val="24"/>
                <w:lang w:val="en-CA"/>
              </w:rPr>
              <w:t>identified</w:t>
            </w:r>
            <w:r w:rsidRPr="001B4597">
              <w:rPr>
                <w:sz w:val="24"/>
                <w:lang w:val="en-CA"/>
              </w:rPr>
              <w:t xml:space="preserve"> </w:t>
            </w:r>
          </w:p>
          <w:p w:rsidR="00566FD0" w:rsidRDefault="00566FD0" w:rsidP="00214B38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F</w:t>
            </w:r>
            <w:r w:rsidRPr="001B4597">
              <w:rPr>
                <w:sz w:val="24"/>
                <w:lang w:val="en-CA"/>
              </w:rPr>
              <w:t xml:space="preserve">irst aid attendants are identified and posted. </w:t>
            </w:r>
          </w:p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1B4597" w:rsidRDefault="00566FD0" w:rsidP="00214B38">
            <w:pPr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>If yes award 5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</w:rPr>
            </w:pPr>
          </w:p>
          <w:p w:rsidR="00566FD0" w:rsidRPr="001B4597" w:rsidRDefault="00566FD0" w:rsidP="00214B38">
            <w:pPr>
              <w:rPr>
                <w:b/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>Select a sample of safe work practices and procedures and observe the workplace to determine if current practices reflect the practices developed.</w:t>
            </w:r>
            <w:r w:rsidRPr="001B4597">
              <w:rPr>
                <w:b/>
                <w:sz w:val="24"/>
                <w:lang w:val="en-CA"/>
              </w:rPr>
              <w:t xml:space="preserve"> </w:t>
            </w:r>
          </w:p>
          <w:p w:rsidR="00566FD0" w:rsidRPr="001B4597" w:rsidRDefault="00566FD0" w:rsidP="00214B38">
            <w:pPr>
              <w:rPr>
                <w:sz w:val="24"/>
                <w:lang w:val="en-CA"/>
              </w:rPr>
            </w:pPr>
          </w:p>
          <w:p w:rsidR="00566FD0" w:rsidRPr="001B4597" w:rsidRDefault="00566FD0" w:rsidP="00214B38">
            <w:pPr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>Award points based on % of positive response.</w:t>
            </w:r>
          </w:p>
          <w:p w:rsidR="00566FD0" w:rsidRPr="001B4597" w:rsidRDefault="00566FD0" w:rsidP="00214B38">
            <w:pPr>
              <w:rPr>
                <w:sz w:val="24"/>
                <w:lang w:val="en-CA"/>
              </w:rPr>
            </w:pPr>
            <w:r w:rsidRPr="001B4597">
              <w:rPr>
                <w:sz w:val="24"/>
                <w:lang w:val="en-CA"/>
              </w:rPr>
              <w:t xml:space="preserve">(1-20% = 2 points, 21-40% = 4 points.. 81-100% = 10 points) 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 xml:space="preserve">Observe the worksite to verify that required PPE is readily available. </w:t>
            </w: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If yes, award 3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lastRenderedPageBreak/>
              <w:t>#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Comments/Observations</w:t>
            </w:r>
          </w:p>
        </w:tc>
      </w:tr>
      <w:tr w:rsidR="00566FD0" w:rsidRPr="007657A7" w:rsidTr="00214B38">
        <w:tc>
          <w:tcPr>
            <w:tcW w:w="805" w:type="dxa"/>
            <w:shd w:val="clear" w:color="auto" w:fill="FFFFFF" w:themeFill="background1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3.4.4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Observe the workers at the worksite to determine if they are wearing the appropriate PPE.</w:t>
            </w:r>
            <w:r>
              <w:rPr>
                <w:sz w:val="24"/>
                <w:lang w:val="en-CA"/>
              </w:rPr>
              <w:t xml:space="preserve"> (0,5)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shd w:val="clear" w:color="auto" w:fill="FFFFFF" w:themeFill="background1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Review inspection schedule and observe posting of completed inspection forms. If required inspections are completed and report posted, award 10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shd w:val="clear" w:color="auto" w:fill="FFFFFF" w:themeFill="background1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Select a sample of completed Accident Investigations and verify that corrective actions have been implemented as indicated.</w:t>
            </w:r>
          </w:p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Award points based on % of positive findings.</w:t>
            </w: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(1-20% = 2 points, 21-40% = 4 points, 81-100% = 10 points)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shd w:val="clear" w:color="auto" w:fill="FFFFFF" w:themeFill="background1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O</w:t>
            </w:r>
            <w:r w:rsidRPr="00E163DF">
              <w:rPr>
                <w:sz w:val="24"/>
                <w:lang w:val="en-CA"/>
              </w:rPr>
              <w:t>bserv</w:t>
            </w:r>
            <w:r>
              <w:rPr>
                <w:sz w:val="24"/>
                <w:lang w:val="en-CA"/>
              </w:rPr>
              <w:t>e</w:t>
            </w:r>
            <w:r w:rsidRPr="00E163DF">
              <w:rPr>
                <w:sz w:val="24"/>
                <w:lang w:val="en-CA"/>
              </w:rPr>
              <w:t xml:space="preserve"> the site for postings of the emergency procedures, safety plans, evacuation plans, and emergency contact information.   Award 10 points if procedures are posted in a conspicuous location. 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shd w:val="clear" w:color="auto" w:fill="FFFFFF" w:themeFill="background1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280589" w:rsidRDefault="00566FD0" w:rsidP="00214B38">
            <w:pPr>
              <w:rPr>
                <w:sz w:val="24"/>
                <w:lang w:val="en-CA"/>
              </w:rPr>
            </w:pPr>
            <w:r w:rsidRPr="00280589">
              <w:rPr>
                <w:sz w:val="24"/>
                <w:lang w:val="en-CA"/>
              </w:rPr>
              <w:t xml:space="preserve">Does the site have adequate emergency response resources provided </w:t>
            </w:r>
            <w:r w:rsidR="00E415B7">
              <w:rPr>
                <w:sz w:val="24"/>
                <w:lang w:val="en-CA"/>
              </w:rPr>
              <w:t>&amp;</w:t>
            </w:r>
            <w:r w:rsidRPr="00280589">
              <w:rPr>
                <w:sz w:val="24"/>
                <w:lang w:val="en-CA"/>
              </w:rPr>
              <w:t xml:space="preserve"> maintained as required by legislation, or as identified in the hazard control process?</w:t>
            </w:r>
          </w:p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 xml:space="preserve">Examine the site to verify the implementation and maintenance of </w:t>
            </w:r>
            <w:r>
              <w:rPr>
                <w:sz w:val="24"/>
                <w:lang w:val="en-CA"/>
              </w:rPr>
              <w:t xml:space="preserve">emergency response </w:t>
            </w:r>
            <w:r w:rsidRPr="00E163DF">
              <w:rPr>
                <w:sz w:val="24"/>
                <w:lang w:val="en-CA"/>
              </w:rPr>
              <w:t>resources.  Resources may include:</w:t>
            </w:r>
          </w:p>
          <w:p w:rsidR="00566FD0" w:rsidRPr="00E163DF" w:rsidRDefault="00566FD0" w:rsidP="00214B38">
            <w:pPr>
              <w:numPr>
                <w:ilvl w:val="0"/>
                <w:numId w:val="3"/>
              </w:num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 xml:space="preserve">Appropriate emergency exit signage </w:t>
            </w:r>
          </w:p>
          <w:p w:rsidR="00566FD0" w:rsidRPr="00E163DF" w:rsidRDefault="00566FD0" w:rsidP="00214B38">
            <w:pPr>
              <w:numPr>
                <w:ilvl w:val="0"/>
                <w:numId w:val="3"/>
              </w:num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Firefighting equipment (maintained per requirements)</w:t>
            </w:r>
          </w:p>
          <w:p w:rsidR="00566FD0" w:rsidRPr="00E163DF" w:rsidRDefault="00566FD0" w:rsidP="00214B38">
            <w:pPr>
              <w:numPr>
                <w:ilvl w:val="0"/>
                <w:numId w:val="3"/>
              </w:num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First aid personnel (should be posted)</w:t>
            </w:r>
          </w:p>
          <w:p w:rsidR="00566FD0" w:rsidRPr="00E163DF" w:rsidRDefault="00566FD0" w:rsidP="00214B38">
            <w:pPr>
              <w:numPr>
                <w:ilvl w:val="0"/>
                <w:numId w:val="3"/>
              </w:num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First aid facilities and equipment per regulation</w:t>
            </w:r>
          </w:p>
          <w:p w:rsidR="00566FD0" w:rsidRPr="00E163DF" w:rsidRDefault="00566FD0" w:rsidP="00214B38">
            <w:pPr>
              <w:numPr>
                <w:ilvl w:val="0"/>
                <w:numId w:val="3"/>
              </w:num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Eye wash stations</w:t>
            </w: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</w:p>
          <w:p w:rsidR="00566FD0" w:rsidRPr="00E415B7" w:rsidRDefault="00566FD0" w:rsidP="00E415B7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Award points base</w:t>
            </w:r>
            <w:r w:rsidR="00E415B7">
              <w:rPr>
                <w:sz w:val="24"/>
                <w:lang w:val="en-CA"/>
              </w:rPr>
              <w:t>d on % of positive observations</w:t>
            </w: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66FD0" w:rsidRPr="007657A7" w:rsidTr="00214B38">
        <w:tc>
          <w:tcPr>
            <w:tcW w:w="805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lastRenderedPageBreak/>
              <w:t>#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566FD0" w:rsidRPr="007657A7" w:rsidRDefault="00566FD0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Comments/Observations</w:t>
            </w: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>Inspect the site and vehicles to determine if workers have access to radios/phones</w:t>
            </w:r>
            <w:r>
              <w:rPr>
                <w:sz w:val="24"/>
                <w:lang w:val="en-CA"/>
              </w:rPr>
              <w:t xml:space="preserve"> or other communication tools</w:t>
            </w:r>
            <w:r w:rsidRPr="00E163DF">
              <w:rPr>
                <w:sz w:val="24"/>
                <w:lang w:val="en-CA"/>
              </w:rPr>
              <w:t xml:space="preserve"> on the worksite, in vehicles or other applicable areas to contact </w:t>
            </w:r>
            <w:r>
              <w:rPr>
                <w:sz w:val="24"/>
                <w:lang w:val="en-CA"/>
              </w:rPr>
              <w:t xml:space="preserve">emergency </w:t>
            </w:r>
            <w:r w:rsidRPr="00E163DF">
              <w:rPr>
                <w:sz w:val="24"/>
                <w:lang w:val="en-CA"/>
              </w:rPr>
              <w:t>assistance if required.</w:t>
            </w: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 xml:space="preserve"> 80% positive observation to award 10 points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</w:rPr>
            </w:pPr>
          </w:p>
          <w:p w:rsidR="00566FD0" w:rsidRPr="00E163DF" w:rsidRDefault="00566FD0" w:rsidP="00214B38">
            <w:pPr>
              <w:rPr>
                <w:sz w:val="24"/>
                <w:lang w:val="en-CA"/>
              </w:rPr>
            </w:pPr>
            <w:r w:rsidRPr="00E163DF">
              <w:rPr>
                <w:sz w:val="24"/>
                <w:lang w:val="en-CA"/>
              </w:rPr>
              <w:t xml:space="preserve">Inspect the workplace to determine if </w:t>
            </w:r>
            <w:r>
              <w:rPr>
                <w:sz w:val="24"/>
                <w:lang w:val="en-CA"/>
              </w:rPr>
              <w:t>applicable legal</w:t>
            </w:r>
            <w:r w:rsidRPr="00E163DF">
              <w:rPr>
                <w:sz w:val="24"/>
                <w:lang w:val="en-CA"/>
              </w:rPr>
              <w:t xml:space="preserve"> documents</w:t>
            </w:r>
            <w:r>
              <w:rPr>
                <w:sz w:val="24"/>
                <w:lang w:val="en-CA"/>
              </w:rPr>
              <w:t xml:space="preserve"> such as the Canada Labour Code/Workers Compensation Act and the COHSR/OHSR</w:t>
            </w:r>
            <w:r w:rsidRPr="00E163DF">
              <w:rPr>
                <w:sz w:val="24"/>
                <w:lang w:val="en-CA"/>
              </w:rPr>
              <w:t xml:space="preserve"> are accessible to all employees.  If yes award 10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  <w:tr w:rsidR="00566FD0" w:rsidRPr="007657A7" w:rsidTr="00214B38">
        <w:tc>
          <w:tcPr>
            <w:tcW w:w="805" w:type="dxa"/>
            <w:vAlign w:val="center"/>
          </w:tcPr>
          <w:p w:rsidR="00566FD0" w:rsidRPr="007657A7" w:rsidRDefault="00566FD0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560" w:type="dxa"/>
          </w:tcPr>
          <w:p w:rsidR="00566FD0" w:rsidRDefault="00566FD0" w:rsidP="00214B38">
            <w:pPr>
              <w:rPr>
                <w:sz w:val="24"/>
                <w:lang w:val="en-CA"/>
              </w:rPr>
            </w:pPr>
          </w:p>
          <w:p w:rsidR="00566FD0" w:rsidRDefault="00566FD0" w:rsidP="00214B38">
            <w:pPr>
              <w:rPr>
                <w:sz w:val="24"/>
                <w:lang w:val="en-CA"/>
              </w:rPr>
            </w:pPr>
            <w:r w:rsidRPr="000C41A7">
              <w:rPr>
                <w:sz w:val="24"/>
                <w:lang w:val="en-CA"/>
              </w:rPr>
              <w:t xml:space="preserve">Observe the health and safety board in the workplace to determine if the JHSC meeting minutes and documentation are posted.  </w:t>
            </w:r>
          </w:p>
          <w:p w:rsidR="00566FD0" w:rsidRPr="000C41A7" w:rsidRDefault="00566FD0" w:rsidP="00214B38">
            <w:pPr>
              <w:rPr>
                <w:sz w:val="24"/>
                <w:lang w:val="en-CA"/>
              </w:rPr>
            </w:pPr>
            <w:r w:rsidRPr="000C41A7">
              <w:rPr>
                <w:sz w:val="24"/>
                <w:lang w:val="en-CA"/>
              </w:rPr>
              <w:t>If yes award 5 points.</w:t>
            </w:r>
          </w:p>
          <w:p w:rsidR="00566FD0" w:rsidRPr="007657A7" w:rsidRDefault="00566FD0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566FD0" w:rsidRPr="007657A7" w:rsidRDefault="00566FD0" w:rsidP="00214B38">
            <w:pPr>
              <w:rPr>
                <w:sz w:val="24"/>
              </w:rPr>
            </w:pPr>
          </w:p>
        </w:tc>
      </w:tr>
    </w:tbl>
    <w:p w:rsidR="00697320" w:rsidRDefault="00E415B7"/>
    <w:sectPr w:rsidR="00697320" w:rsidSect="00566F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5E5"/>
    <w:multiLevelType w:val="hybridMultilevel"/>
    <w:tmpl w:val="B276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BAA"/>
    <w:multiLevelType w:val="hybridMultilevel"/>
    <w:tmpl w:val="6FB4C6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3D01"/>
    <w:multiLevelType w:val="hybridMultilevel"/>
    <w:tmpl w:val="B276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D0"/>
    <w:rsid w:val="00085BA4"/>
    <w:rsid w:val="000D473F"/>
    <w:rsid w:val="00566FD0"/>
    <w:rsid w:val="005D0D7D"/>
    <w:rsid w:val="009E53A7"/>
    <w:rsid w:val="00AB0CFD"/>
    <w:rsid w:val="00E415B7"/>
    <w:rsid w:val="00EC0ACA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7C4F5-D0FA-48AA-8211-60F834B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D0"/>
  </w:style>
  <w:style w:type="paragraph" w:styleId="Heading1">
    <w:name w:val="heading 1"/>
    <w:basedOn w:val="Normal"/>
    <w:next w:val="Normal"/>
    <w:link w:val="Heading1Char"/>
    <w:uiPriority w:val="9"/>
    <w:qFormat/>
    <w:rsid w:val="009E53A7"/>
    <w:pPr>
      <w:keepNext/>
      <w:keepLines/>
      <w:spacing w:before="240" w:after="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A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3A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BA4"/>
    <w:rPr>
      <w:rFonts w:eastAsiaTheme="majorEastAsia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56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Gilder</dc:creator>
  <cp:keywords/>
  <dc:description/>
  <cp:lastModifiedBy>Craig Gilder</cp:lastModifiedBy>
  <cp:revision>2</cp:revision>
  <dcterms:created xsi:type="dcterms:W3CDTF">2016-09-27T18:27:00Z</dcterms:created>
  <dcterms:modified xsi:type="dcterms:W3CDTF">2016-09-27T18:38:00Z</dcterms:modified>
</cp:coreProperties>
</file>