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20" w:rsidRPr="00840D8B" w:rsidRDefault="00EF2220" w:rsidP="00840D8B">
      <w:pPr>
        <w:pStyle w:val="Heading1"/>
      </w:pPr>
      <w:r w:rsidRPr="00840D8B">
        <w:t>Job Task Inventory</w:t>
      </w:r>
    </w:p>
    <w:p w:rsidR="00EF2220" w:rsidRPr="00840D8B" w:rsidRDefault="00EF2220" w:rsidP="00EF2220">
      <w:pPr>
        <w:rPr>
          <w:rFonts w:ascii="Verdana" w:hAnsi="Verdana"/>
          <w:sz w:val="18"/>
          <w:szCs w:val="24"/>
        </w:rPr>
      </w:pPr>
      <w:r w:rsidRPr="00840D8B">
        <w:rPr>
          <w:rFonts w:ascii="Verdana" w:hAnsi="Verdana"/>
          <w:sz w:val="18"/>
          <w:szCs w:val="24"/>
        </w:rPr>
        <w:t xml:space="preserve">Our job task inventory includes each occupation at </w:t>
      </w:r>
      <w:r w:rsidRPr="00840D8B">
        <w:rPr>
          <w:rFonts w:ascii="Verdana" w:hAnsi="Verdana"/>
          <w:b/>
          <w:color w:val="FF0000"/>
          <w:sz w:val="18"/>
          <w:szCs w:val="24"/>
        </w:rPr>
        <w:t>Company Name</w:t>
      </w:r>
      <w:r w:rsidRPr="00840D8B">
        <w:rPr>
          <w:rFonts w:ascii="Verdana" w:hAnsi="Verdana"/>
          <w:sz w:val="18"/>
          <w:szCs w:val="24"/>
        </w:rPr>
        <w:t xml:space="preserve">. This inventory is reviewed every year and updated when tasks or occupations change. </w:t>
      </w:r>
      <w:r w:rsidRPr="00840D8B">
        <w:rPr>
          <w:rFonts w:ascii="Verdana" w:hAnsi="Verdana"/>
          <w:sz w:val="18"/>
          <w:szCs w:val="24"/>
        </w:rPr>
        <w:br/>
      </w:r>
    </w:p>
    <w:tbl>
      <w:tblPr>
        <w:tblStyle w:val="TableGrid"/>
        <w:tblW w:w="9434" w:type="dxa"/>
        <w:tblBorders>
          <w:top w:val="single" w:sz="4" w:space="0" w:color="BE1E1E"/>
          <w:left w:val="single" w:sz="4" w:space="0" w:color="BE1E1E"/>
          <w:bottom w:val="single" w:sz="4" w:space="0" w:color="BE1E1E"/>
          <w:right w:val="single" w:sz="4" w:space="0" w:color="BE1E1E"/>
          <w:insideH w:val="single" w:sz="4" w:space="0" w:color="BE1E1E"/>
          <w:insideV w:val="single" w:sz="4" w:space="0" w:color="BE1E1E"/>
        </w:tblBorders>
        <w:tblLook w:val="04A0" w:firstRow="1" w:lastRow="0" w:firstColumn="1" w:lastColumn="0" w:noHBand="0" w:noVBand="1"/>
      </w:tblPr>
      <w:tblGrid>
        <w:gridCol w:w="2062"/>
        <w:gridCol w:w="4850"/>
        <w:gridCol w:w="1276"/>
        <w:gridCol w:w="1246"/>
      </w:tblGrid>
      <w:tr w:rsidR="00EF2220" w:rsidRPr="00840D8B" w:rsidTr="00E544BF">
        <w:tc>
          <w:tcPr>
            <w:tcW w:w="2062" w:type="dxa"/>
            <w:shd w:val="clear" w:color="auto" w:fill="FAD7A0"/>
          </w:tcPr>
          <w:p w:rsidR="00EF2220" w:rsidRPr="00840D8B" w:rsidRDefault="00EF2220" w:rsidP="00E544BF">
            <w:pPr>
              <w:pStyle w:val="TableHeads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Position</w:t>
            </w:r>
            <w:r w:rsidRPr="00840D8B">
              <w:rPr>
                <w:rStyle w:val="Notemarker"/>
                <w:rFonts w:ascii="Verdana" w:hAnsi="Verdana"/>
                <w:sz w:val="18"/>
                <w:szCs w:val="24"/>
              </w:rPr>
              <w:t>*</w:t>
            </w:r>
          </w:p>
        </w:tc>
        <w:tc>
          <w:tcPr>
            <w:tcW w:w="4850" w:type="dxa"/>
            <w:shd w:val="clear" w:color="auto" w:fill="FAD7A0"/>
          </w:tcPr>
          <w:p w:rsidR="00EF2220" w:rsidRPr="00840D8B" w:rsidRDefault="00EF2220" w:rsidP="00E544BF">
            <w:pPr>
              <w:pStyle w:val="TableHeads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Job Task</w:t>
            </w:r>
          </w:p>
        </w:tc>
        <w:tc>
          <w:tcPr>
            <w:tcW w:w="1276" w:type="dxa"/>
            <w:shd w:val="clear" w:color="auto" w:fill="FAD7A0"/>
          </w:tcPr>
          <w:p w:rsidR="00EF2220" w:rsidRPr="00840D8B" w:rsidRDefault="00EF2220" w:rsidP="00E544BF">
            <w:pPr>
              <w:pStyle w:val="TableHeads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Risk Rating</w:t>
            </w:r>
          </w:p>
        </w:tc>
        <w:tc>
          <w:tcPr>
            <w:tcW w:w="1246" w:type="dxa"/>
            <w:shd w:val="clear" w:color="auto" w:fill="FAD7A0"/>
          </w:tcPr>
          <w:p w:rsidR="00EF2220" w:rsidRPr="00840D8B" w:rsidRDefault="00EF2220" w:rsidP="00E544BF">
            <w:pPr>
              <w:pStyle w:val="TableHeads"/>
              <w:ind w:left="-1809" w:right="-138" w:firstLine="1809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Critical task</w:t>
            </w:r>
          </w:p>
        </w:tc>
      </w:tr>
      <w:tr w:rsidR="00EF2220" w:rsidRPr="00840D8B" w:rsidTr="00E544BF">
        <w:trPr>
          <w:trHeight w:val="706"/>
        </w:trPr>
        <w:tc>
          <w:tcPr>
            <w:tcW w:w="2062" w:type="dxa"/>
            <w:vMerge w:val="restart"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  <w:r w:rsidRPr="00840D8B">
              <w:rPr>
                <w:rFonts w:ascii="Verdana" w:hAnsi="Verdana"/>
                <w:b/>
                <w:bCs/>
                <w:szCs w:val="24"/>
              </w:rPr>
              <w:t>Office staff</w:t>
            </w:r>
            <w:r w:rsidRPr="00840D8B">
              <w:rPr>
                <w:rFonts w:ascii="Verdana" w:hAnsi="Verdana"/>
                <w:b/>
                <w:bCs/>
                <w:szCs w:val="24"/>
              </w:rPr>
              <w:br/>
              <w:t>(administration, dispatch)</w:t>
            </w: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Office administration including filing, photo copying, data entry, telephone handling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Low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510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Dispatch and issue work orders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Low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455"/>
        </w:trPr>
        <w:tc>
          <w:tcPr>
            <w:tcW w:w="2062" w:type="dxa"/>
            <w:vMerge w:val="restart"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  <w:r w:rsidRPr="00840D8B">
              <w:rPr>
                <w:rFonts w:ascii="Verdana" w:hAnsi="Verdana"/>
                <w:b/>
                <w:bCs/>
                <w:szCs w:val="24"/>
              </w:rPr>
              <w:t>Driver (including owner operators)</w:t>
            </w: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Loading and unloading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12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Tarping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High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Yes</w:t>
            </w:r>
          </w:p>
        </w:tc>
      </w:tr>
      <w:tr w:rsidR="00EF2220" w:rsidRPr="00840D8B" w:rsidTr="00E544BF">
        <w:trPr>
          <w:trHeight w:val="312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Manual handling (lifting)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12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Driving, including vehicle backing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12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Use of pallet jack and hand dolly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Low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12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Handling dangerous goods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272"/>
        </w:trPr>
        <w:tc>
          <w:tcPr>
            <w:tcW w:w="2062" w:type="dxa"/>
            <w:vMerge w:val="restart"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  <w:r w:rsidRPr="00840D8B">
              <w:rPr>
                <w:rFonts w:ascii="Verdana" w:hAnsi="Verdana"/>
                <w:b/>
                <w:bCs/>
                <w:szCs w:val="24"/>
              </w:rPr>
              <w:t>Warehouse worker</w:t>
            </w: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Loading and unloading trailer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267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Drive forklift, including backing operations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267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Use of pallet jack and hand dolly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Low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267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Manual lifting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267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Handling dangerous goods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85"/>
        </w:trPr>
        <w:tc>
          <w:tcPr>
            <w:tcW w:w="2062" w:type="dxa"/>
            <w:vMerge w:val="restart"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Cs w:val="24"/>
              </w:rPr>
            </w:pPr>
            <w:r w:rsidRPr="00840D8B">
              <w:rPr>
                <w:rFonts w:ascii="Verdana" w:hAnsi="Verdana"/>
                <w:b/>
                <w:bCs/>
                <w:szCs w:val="24"/>
              </w:rPr>
              <w:t>Maintenance personnel</w:t>
            </w: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Vehicle and equipment inspection and repair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  <w:tr w:rsidR="00EF2220" w:rsidRPr="00840D8B" w:rsidTr="00E544BF">
        <w:trPr>
          <w:trHeight w:val="385"/>
        </w:trPr>
        <w:tc>
          <w:tcPr>
            <w:tcW w:w="2062" w:type="dxa"/>
            <w:vMerge/>
          </w:tcPr>
          <w:p w:rsidR="00EF2220" w:rsidRPr="00840D8B" w:rsidRDefault="00EF2220" w:rsidP="00E544BF">
            <w:pPr>
              <w:pStyle w:val="Table"/>
              <w:rPr>
                <w:rFonts w:ascii="Verdana" w:hAnsi="Verdana"/>
                <w:b/>
                <w:bCs/>
                <w:sz w:val="18"/>
                <w:szCs w:val="24"/>
              </w:rPr>
            </w:pPr>
          </w:p>
        </w:tc>
        <w:tc>
          <w:tcPr>
            <w:tcW w:w="4850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Test drive vehicle and mobile equipment</w:t>
            </w:r>
          </w:p>
        </w:tc>
        <w:tc>
          <w:tcPr>
            <w:tcW w:w="1276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24"/>
              </w:rPr>
            </w:pPr>
            <w:r w:rsidRPr="00840D8B">
              <w:rPr>
                <w:rFonts w:ascii="Verdana" w:hAnsi="Verdana"/>
                <w:sz w:val="18"/>
                <w:szCs w:val="24"/>
              </w:rPr>
              <w:t>Mod</w:t>
            </w:r>
          </w:p>
        </w:tc>
        <w:tc>
          <w:tcPr>
            <w:tcW w:w="1246" w:type="dxa"/>
          </w:tcPr>
          <w:p w:rsidR="00EF2220" w:rsidRPr="00840D8B" w:rsidRDefault="00EF2220" w:rsidP="00E544BF">
            <w:pPr>
              <w:pStyle w:val="Tablebullets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840D8B">
              <w:rPr>
                <w:rFonts w:ascii="Verdana" w:hAnsi="Verdana"/>
                <w:color w:val="FF0000"/>
                <w:sz w:val="18"/>
                <w:szCs w:val="24"/>
              </w:rPr>
              <w:t>No</w:t>
            </w:r>
          </w:p>
        </w:tc>
      </w:tr>
    </w:tbl>
    <w:p w:rsidR="00EF2220" w:rsidRPr="00840D8B" w:rsidRDefault="00EF2220" w:rsidP="00EF2220">
      <w:pPr>
        <w:pStyle w:val="Notes"/>
        <w:rPr>
          <w:rFonts w:ascii="Verdana" w:hAnsi="Verdana"/>
          <w:color w:val="FF0000"/>
          <w:sz w:val="18"/>
          <w:szCs w:val="24"/>
        </w:rPr>
      </w:pPr>
      <w:r w:rsidRPr="00840D8B">
        <w:rPr>
          <w:rStyle w:val="Notemarker"/>
          <w:rFonts w:ascii="Verdana" w:hAnsi="Verdana"/>
          <w:sz w:val="18"/>
          <w:szCs w:val="24"/>
        </w:rPr>
        <w:t>*</w:t>
      </w:r>
      <w:r w:rsidRPr="00840D8B">
        <w:rPr>
          <w:rFonts w:ascii="Verdana" w:hAnsi="Verdana"/>
          <w:sz w:val="18"/>
          <w:szCs w:val="24"/>
        </w:rPr>
        <w:tab/>
      </w:r>
      <w:r w:rsidRPr="00840D8B">
        <w:rPr>
          <w:rFonts w:ascii="Verdana" w:hAnsi="Verdana"/>
          <w:color w:val="FF0000"/>
          <w:sz w:val="18"/>
          <w:szCs w:val="24"/>
        </w:rPr>
        <w:t>This list of Positions and Job Tasks is not exhaustive. Please add positions and tasks to match your company environment.</w:t>
      </w:r>
    </w:p>
    <w:p w:rsidR="00B9370A" w:rsidRPr="00840D8B" w:rsidRDefault="00B9370A">
      <w:pPr>
        <w:rPr>
          <w:rFonts w:ascii="Verdana" w:hAnsi="Verdana"/>
          <w:sz w:val="16"/>
        </w:rPr>
      </w:pPr>
      <w:bookmarkStart w:id="0" w:name="_GoBack"/>
      <w:bookmarkEnd w:id="0"/>
    </w:p>
    <w:sectPr w:rsidR="00B9370A" w:rsidRPr="0084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0E2D"/>
    <w:multiLevelType w:val="hybridMultilevel"/>
    <w:tmpl w:val="9CBEC2BE"/>
    <w:lvl w:ilvl="0" w:tplc="6E0C238A">
      <w:start w:val="1"/>
      <w:numFmt w:val="bullet"/>
      <w:pStyle w:val="Tablebullets"/>
      <w:lvlText w:val=""/>
      <w:lvlJc w:val="left"/>
      <w:pPr>
        <w:ind w:left="432" w:hanging="360"/>
      </w:pPr>
      <w:rPr>
        <w:rFonts w:ascii="Symbol" w:hAnsi="Symbol" w:hint="default"/>
        <w:color w:val="BE1E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0"/>
    <w:rsid w:val="00840D8B"/>
    <w:rsid w:val="00B9370A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FDCE-789B-4E60-99AF-20EA58A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20"/>
    <w:pPr>
      <w:spacing w:before="120" w:after="0" w:line="260" w:lineRule="exact"/>
    </w:pPr>
    <w:rPr>
      <w:rFonts w:ascii="Calibri" w:eastAsia="Calibri" w:hAnsi="Calibri" w:cs="Times New Roman"/>
      <w:szCs w:val="20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840D8B"/>
    <w:pPr>
      <w:keepNext/>
      <w:spacing w:after="0" w:line="360" w:lineRule="exact"/>
      <w:outlineLvl w:val="0"/>
    </w:pPr>
    <w:rPr>
      <w:rFonts w:ascii="Verdana" w:eastAsia="Times New Roman" w:hAnsi="Verdana" w:cs="Times New Roman"/>
      <w:b/>
      <w:bCs/>
      <w:kern w:val="32"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8B"/>
    <w:rPr>
      <w:rFonts w:ascii="Verdana" w:eastAsia="Times New Roman" w:hAnsi="Verdana" w:cs="Times New Roman"/>
      <w:b/>
      <w:bCs/>
      <w:kern w:val="32"/>
      <w:sz w:val="28"/>
      <w:szCs w:val="24"/>
      <w:lang w:val="en-CA"/>
    </w:rPr>
  </w:style>
  <w:style w:type="character" w:customStyle="1" w:styleId="Notemarker">
    <w:name w:val="Note marker"/>
    <w:basedOn w:val="DefaultParagraphFont"/>
    <w:uiPriority w:val="1"/>
    <w:qFormat/>
    <w:rsid w:val="00EF2220"/>
    <w:rPr>
      <w:b/>
      <w:color w:val="E46734"/>
    </w:rPr>
  </w:style>
  <w:style w:type="paragraph" w:customStyle="1" w:styleId="Table">
    <w:name w:val="Table"/>
    <w:basedOn w:val="Normal"/>
    <w:qFormat/>
    <w:rsid w:val="00EF2220"/>
    <w:pPr>
      <w:spacing w:before="60" w:after="60"/>
    </w:pPr>
  </w:style>
  <w:style w:type="paragraph" w:customStyle="1" w:styleId="TableHeads">
    <w:name w:val="Table Heads"/>
    <w:basedOn w:val="Table"/>
    <w:qFormat/>
    <w:rsid w:val="00EF2220"/>
  </w:style>
  <w:style w:type="table" w:styleId="TableGrid">
    <w:name w:val="Table Grid"/>
    <w:basedOn w:val="TableNormal"/>
    <w:uiPriority w:val="59"/>
    <w:rsid w:val="00EF2220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EF2220"/>
    <w:pPr>
      <w:numPr>
        <w:numId w:val="1"/>
      </w:numPr>
      <w:spacing w:before="60" w:after="0" w:line="240" w:lineRule="auto"/>
      <w:ind w:left="360"/>
    </w:pPr>
    <w:rPr>
      <w:rFonts w:ascii="Calibri" w:eastAsia="Calibri" w:hAnsi="Calibri" w:cs="Times New Roman"/>
      <w:szCs w:val="20"/>
      <w:lang w:val="en-CA"/>
    </w:rPr>
  </w:style>
  <w:style w:type="paragraph" w:customStyle="1" w:styleId="Notes">
    <w:name w:val="Notes"/>
    <w:basedOn w:val="Normal"/>
    <w:qFormat/>
    <w:rsid w:val="00EF2220"/>
    <w:pPr>
      <w:spacing w:line="220" w:lineRule="exact"/>
      <w:ind w:left="274" w:hanging="27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X</cp:lastModifiedBy>
  <cp:revision>2</cp:revision>
  <dcterms:created xsi:type="dcterms:W3CDTF">2019-07-12T20:17:00Z</dcterms:created>
  <dcterms:modified xsi:type="dcterms:W3CDTF">2019-08-13T23:14:00Z</dcterms:modified>
</cp:coreProperties>
</file>